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000" w:firstRow="0" w:lastRow="0" w:firstColumn="0" w:lastColumn="0" w:noHBand="0" w:noVBand="0"/>
      </w:tblPr>
      <w:tblGrid>
        <w:gridCol w:w="47"/>
        <w:gridCol w:w="20"/>
        <w:gridCol w:w="75"/>
        <w:gridCol w:w="10424"/>
        <w:gridCol w:w="5050"/>
      </w:tblGrid>
      <w:tr w:rsidR="00AB1CE6" w:rsidTr="00A8653F">
        <w:trPr>
          <w:trHeight w:val="593"/>
        </w:trPr>
        <w:tc>
          <w:tcPr>
            <w:tcW w:w="47" w:type="dxa"/>
          </w:tcPr>
          <w:p w:rsidR="00B2388C" w:rsidRDefault="00B2388C">
            <w:pPr>
              <w:pStyle w:val="EmptyCellLayoutStyle"/>
              <w:spacing w:after="0" w:line="240" w:lineRule="auto"/>
            </w:pPr>
          </w:p>
        </w:tc>
        <w:tc>
          <w:tcPr>
            <w:tcW w:w="15569" w:type="dxa"/>
            <w:gridSpan w:val="4"/>
          </w:tcPr>
          <w:tbl>
            <w:tblPr>
              <w:tblW w:w="0" w:type="auto"/>
              <w:tblCellMar>
                <w:left w:w="0" w:type="dxa"/>
                <w:right w:w="0" w:type="dxa"/>
              </w:tblCellMar>
              <w:tblLook w:val="0000" w:firstRow="0" w:lastRow="0" w:firstColumn="0" w:lastColumn="0" w:noHBand="0" w:noVBand="0"/>
            </w:tblPr>
            <w:tblGrid>
              <w:gridCol w:w="15569"/>
            </w:tblGrid>
            <w:tr w:rsidR="00B2388C">
              <w:trPr>
                <w:trHeight w:val="515"/>
              </w:trPr>
              <w:tc>
                <w:tcPr>
                  <w:tcW w:w="15570" w:type="dxa"/>
                  <w:tcBorders>
                    <w:top w:val="nil"/>
                    <w:left w:val="nil"/>
                    <w:bottom w:val="nil"/>
                    <w:right w:val="nil"/>
                  </w:tcBorders>
                  <w:shd w:val="clear" w:color="auto" w:fill="0070C0"/>
                  <w:tcMar>
                    <w:top w:w="39" w:type="dxa"/>
                    <w:left w:w="39" w:type="dxa"/>
                    <w:bottom w:w="39" w:type="dxa"/>
                    <w:right w:w="39" w:type="dxa"/>
                  </w:tcMar>
                  <w:vAlign w:val="center"/>
                </w:tcPr>
                <w:p w:rsidR="00A8653F" w:rsidRPr="00A37262" w:rsidRDefault="00A8653F" w:rsidP="00A8653F">
                  <w:pPr>
                    <w:spacing w:after="0" w:line="240" w:lineRule="auto"/>
                    <w:jc w:val="center"/>
                    <w:rPr>
                      <w:rFonts w:ascii="Arial" w:eastAsia="Arial" w:hAnsi="Arial"/>
                      <w:b/>
                      <w:color w:val="FFFFFF"/>
                      <w:sz w:val="22"/>
                    </w:rPr>
                  </w:pPr>
                </w:p>
                <w:p w:rsidR="00A8653F" w:rsidRPr="00A37262" w:rsidRDefault="00A8653F" w:rsidP="00A8653F">
                  <w:pPr>
                    <w:spacing w:after="0" w:line="240" w:lineRule="auto"/>
                    <w:jc w:val="center"/>
                    <w:rPr>
                      <w:rFonts w:ascii="Arial" w:eastAsia="Arial" w:hAnsi="Arial"/>
                      <w:b/>
                      <w:color w:val="FFFFFF"/>
                      <w:sz w:val="22"/>
                    </w:rPr>
                  </w:pPr>
                  <w:r w:rsidRPr="00A37262">
                    <w:rPr>
                      <w:rFonts w:ascii="Arial" w:eastAsia="Arial" w:hAnsi="Arial"/>
                      <w:b/>
                      <w:color w:val="FFFFFF"/>
                      <w:sz w:val="22"/>
                    </w:rPr>
                    <w:t xml:space="preserve">POPIS UDRUGA </w:t>
                  </w:r>
                </w:p>
                <w:p w:rsidR="00A8653F" w:rsidRPr="00A37262" w:rsidRDefault="00A8653F" w:rsidP="00A8653F">
                  <w:pPr>
                    <w:spacing w:after="0" w:line="240" w:lineRule="auto"/>
                    <w:jc w:val="center"/>
                    <w:rPr>
                      <w:rFonts w:ascii="Arial" w:eastAsia="Arial" w:hAnsi="Arial"/>
                      <w:b/>
                      <w:color w:val="FFFFFF"/>
                      <w:sz w:val="22"/>
                    </w:rPr>
                  </w:pPr>
                  <w:r w:rsidRPr="00A37262">
                    <w:rPr>
                      <w:rFonts w:ascii="Arial" w:eastAsia="Arial" w:hAnsi="Arial"/>
                      <w:b/>
                      <w:color w:val="FFFFFF"/>
                      <w:sz w:val="22"/>
                    </w:rPr>
                    <w:t xml:space="preserve">ČIJE PRIJAVE NE ISPUNJAVAJU PROPISANE UVJETE JAVNOG NATJEČAJA  ZA FINANCIRANJE PROGRAMA I PROJEKATA UDRUGA </w:t>
                  </w:r>
                  <w:r>
                    <w:rPr>
                      <w:rFonts w:ascii="Arial" w:eastAsia="Arial" w:hAnsi="Arial"/>
                      <w:b/>
                      <w:color w:val="FFFFFF"/>
                      <w:sz w:val="22"/>
                    </w:rPr>
                    <w:t xml:space="preserve">MLADIH ILI UDRUGA ZA MLADE </w:t>
                  </w:r>
                  <w:r w:rsidRPr="00A37262">
                    <w:rPr>
                      <w:rFonts w:ascii="Arial" w:eastAsia="Arial" w:hAnsi="Arial"/>
                      <w:b/>
                      <w:color w:val="FFFFFF"/>
                      <w:sz w:val="22"/>
                    </w:rPr>
                    <w:t>I</w:t>
                  </w:r>
                  <w:r>
                    <w:rPr>
                      <w:rFonts w:ascii="Arial" w:eastAsia="Arial" w:hAnsi="Arial"/>
                      <w:b/>
                      <w:color w:val="FFFFFF"/>
                      <w:sz w:val="22"/>
                    </w:rPr>
                    <w:t>Z PRORAČUNA GRADA ZAGREBA ZA 2020</w:t>
                  </w:r>
                  <w:r w:rsidRPr="00A37262">
                    <w:rPr>
                      <w:rFonts w:ascii="Arial" w:eastAsia="Arial" w:hAnsi="Arial"/>
                      <w:b/>
                      <w:color w:val="FFFFFF"/>
                      <w:sz w:val="22"/>
                    </w:rPr>
                    <w:t>.</w:t>
                  </w:r>
                </w:p>
                <w:p w:rsidR="00B2388C" w:rsidRDefault="00B2388C">
                  <w:pPr>
                    <w:spacing w:after="0" w:line="240" w:lineRule="auto"/>
                    <w:jc w:val="center"/>
                  </w:pPr>
                </w:p>
              </w:tc>
            </w:tr>
          </w:tbl>
          <w:p w:rsidR="00B2388C" w:rsidRDefault="00B2388C">
            <w:pPr>
              <w:spacing w:after="0" w:line="240" w:lineRule="auto"/>
            </w:pPr>
          </w:p>
        </w:tc>
      </w:tr>
      <w:tr w:rsidR="00B2388C" w:rsidTr="003F0DCC">
        <w:trPr>
          <w:trHeight w:val="2082"/>
        </w:trPr>
        <w:tc>
          <w:tcPr>
            <w:tcW w:w="47" w:type="dxa"/>
          </w:tcPr>
          <w:p w:rsidR="00B2388C" w:rsidRDefault="00B2388C">
            <w:pPr>
              <w:pStyle w:val="EmptyCellLayoutStyle"/>
              <w:spacing w:after="0" w:line="240" w:lineRule="auto"/>
            </w:pPr>
          </w:p>
        </w:tc>
        <w:tc>
          <w:tcPr>
            <w:tcW w:w="20" w:type="dxa"/>
          </w:tcPr>
          <w:p w:rsidR="00B2388C" w:rsidRDefault="00B2388C">
            <w:pPr>
              <w:pStyle w:val="EmptyCellLayoutStyle"/>
              <w:spacing w:after="0" w:line="240" w:lineRule="auto"/>
            </w:pPr>
          </w:p>
        </w:tc>
        <w:tc>
          <w:tcPr>
            <w:tcW w:w="75" w:type="dxa"/>
          </w:tcPr>
          <w:p w:rsidR="00B2388C" w:rsidRDefault="00B2388C">
            <w:pPr>
              <w:pStyle w:val="EmptyCellLayoutStyle"/>
              <w:spacing w:after="0" w:line="240" w:lineRule="auto"/>
            </w:pPr>
          </w:p>
        </w:tc>
        <w:tc>
          <w:tcPr>
            <w:tcW w:w="10424" w:type="dxa"/>
          </w:tcPr>
          <w:p w:rsidR="00073E99" w:rsidRDefault="00073E99" w:rsidP="00073E99">
            <w:pPr>
              <w:pStyle w:val="EmptyCellLayoutStyle"/>
              <w:spacing w:after="0" w:line="240" w:lineRule="auto"/>
              <w:rPr>
                <w:rFonts w:ascii="Arial" w:hAnsi="Arial" w:cs="Arial"/>
                <w:sz w:val="20"/>
              </w:rPr>
            </w:pPr>
          </w:p>
          <w:p w:rsidR="00073E99" w:rsidRPr="00931DE6" w:rsidRDefault="00073E99" w:rsidP="00073E99">
            <w:pPr>
              <w:pStyle w:val="EmptyCellLayoutStyle"/>
              <w:spacing w:after="0" w:line="240" w:lineRule="auto"/>
              <w:rPr>
                <w:rFonts w:ascii="Arial" w:hAnsi="Arial" w:cs="Arial"/>
                <w:b/>
                <w:sz w:val="20"/>
              </w:rPr>
            </w:pPr>
            <w:r>
              <w:rPr>
                <w:rFonts w:ascii="Arial" w:hAnsi="Arial" w:cs="Arial"/>
                <w:sz w:val="20"/>
              </w:rPr>
              <w:t>Ovaj popis je objavljen na internetskoj stranici Grada Zagreba</w:t>
            </w:r>
            <w:r w:rsidRPr="00931DE6">
              <w:rPr>
                <w:rFonts w:ascii="Arial" w:hAnsi="Arial" w:cs="Arial"/>
                <w:sz w:val="20"/>
              </w:rPr>
              <w:t xml:space="preserve"> dana </w:t>
            </w:r>
            <w:r>
              <w:rPr>
                <w:rFonts w:ascii="Arial" w:hAnsi="Arial" w:cs="Arial"/>
                <w:b/>
                <w:sz w:val="20"/>
              </w:rPr>
              <w:t>8</w:t>
            </w:r>
            <w:r w:rsidRPr="00931DE6">
              <w:rPr>
                <w:rFonts w:ascii="Arial" w:hAnsi="Arial" w:cs="Arial"/>
                <w:b/>
                <w:sz w:val="20"/>
              </w:rPr>
              <w:t xml:space="preserve">. </w:t>
            </w:r>
            <w:r>
              <w:rPr>
                <w:rFonts w:ascii="Arial" w:hAnsi="Arial" w:cs="Arial"/>
                <w:b/>
                <w:sz w:val="20"/>
              </w:rPr>
              <w:t>lipnja 2020</w:t>
            </w:r>
            <w:r w:rsidRPr="00931DE6">
              <w:rPr>
                <w:rFonts w:ascii="Arial" w:hAnsi="Arial" w:cs="Arial"/>
                <w:b/>
                <w:sz w:val="20"/>
              </w:rPr>
              <w:t>.</w:t>
            </w:r>
          </w:p>
          <w:p w:rsidR="00073E99" w:rsidRPr="00931DE6" w:rsidRDefault="00073E99" w:rsidP="00073E99">
            <w:pPr>
              <w:pStyle w:val="EmptyCellLayoutStyle"/>
              <w:spacing w:after="0" w:line="240" w:lineRule="auto"/>
              <w:rPr>
                <w:rFonts w:ascii="Arial" w:hAnsi="Arial" w:cs="Arial"/>
                <w:sz w:val="20"/>
              </w:rPr>
            </w:pPr>
          </w:p>
          <w:p w:rsidR="00073E99" w:rsidRPr="00931DE6" w:rsidRDefault="00073E99" w:rsidP="00073E99">
            <w:pPr>
              <w:pStyle w:val="EmptyCellLayoutStyle"/>
              <w:spacing w:after="0" w:line="240" w:lineRule="auto"/>
              <w:rPr>
                <w:rFonts w:ascii="Arial" w:hAnsi="Arial" w:cs="Arial"/>
                <w:b/>
                <w:sz w:val="20"/>
              </w:rPr>
            </w:pPr>
            <w:r>
              <w:rPr>
                <w:rFonts w:ascii="Arial" w:hAnsi="Arial" w:cs="Arial"/>
                <w:sz w:val="20"/>
              </w:rPr>
              <w:t>R</w:t>
            </w:r>
            <w:r w:rsidRPr="00931DE6">
              <w:rPr>
                <w:rFonts w:ascii="Arial" w:hAnsi="Arial" w:cs="Arial"/>
                <w:sz w:val="20"/>
              </w:rPr>
              <w:t xml:space="preserve">ok za podnošenje prigovora na popis je osam dana od objave zaključno </w:t>
            </w:r>
            <w:r>
              <w:rPr>
                <w:rFonts w:ascii="Arial" w:hAnsi="Arial" w:cs="Arial"/>
                <w:sz w:val="20"/>
              </w:rPr>
              <w:t xml:space="preserve">s </w:t>
            </w:r>
            <w:r>
              <w:rPr>
                <w:rFonts w:ascii="Arial" w:hAnsi="Arial" w:cs="Arial"/>
                <w:b/>
                <w:sz w:val="20"/>
              </w:rPr>
              <w:t>16. lipnja 2020</w:t>
            </w:r>
            <w:r w:rsidRPr="00931DE6">
              <w:rPr>
                <w:rFonts w:ascii="Arial" w:hAnsi="Arial" w:cs="Arial"/>
                <w:b/>
                <w:sz w:val="20"/>
              </w:rPr>
              <w:t>.</w:t>
            </w:r>
          </w:p>
          <w:p w:rsidR="00073E99" w:rsidRPr="00931DE6" w:rsidRDefault="00073E99" w:rsidP="00073E99">
            <w:pPr>
              <w:pStyle w:val="EmptyCellLayoutStyle"/>
              <w:spacing w:after="0" w:line="240" w:lineRule="auto"/>
              <w:rPr>
                <w:rFonts w:ascii="Arial" w:hAnsi="Arial" w:cs="Arial"/>
                <w:sz w:val="20"/>
              </w:rPr>
            </w:pPr>
          </w:p>
          <w:p w:rsidR="00073E99" w:rsidRDefault="00073E99" w:rsidP="00073E99">
            <w:pPr>
              <w:pStyle w:val="EmptyCellLayoutStyle"/>
              <w:spacing w:after="0" w:line="240" w:lineRule="auto"/>
              <w:rPr>
                <w:rFonts w:ascii="Arial" w:hAnsi="Arial" w:cs="Arial"/>
                <w:b/>
                <w:sz w:val="20"/>
              </w:rPr>
            </w:pPr>
            <w:r w:rsidRPr="00931DE6">
              <w:rPr>
                <w:rFonts w:ascii="Arial" w:hAnsi="Arial" w:cs="Arial"/>
                <w:sz w:val="20"/>
              </w:rPr>
              <w:t>Prigovor se podno</w:t>
            </w:r>
            <w:r>
              <w:rPr>
                <w:rFonts w:ascii="Arial" w:hAnsi="Arial" w:cs="Arial"/>
                <w:sz w:val="20"/>
              </w:rPr>
              <w:t>si gradonačelniku Grada Zagreba</w:t>
            </w:r>
            <w:r w:rsidRPr="00931DE6">
              <w:rPr>
                <w:rFonts w:ascii="Arial" w:hAnsi="Arial" w:cs="Arial"/>
                <w:sz w:val="20"/>
              </w:rPr>
              <w:t xml:space="preserve"> u pisanom obliku putem </w:t>
            </w:r>
            <w:r>
              <w:rPr>
                <w:rFonts w:ascii="Arial" w:hAnsi="Arial" w:cs="Arial"/>
                <w:b/>
                <w:sz w:val="20"/>
              </w:rPr>
              <w:t>Gradskog ureda za sport i mlade</w:t>
            </w:r>
            <w:r w:rsidRPr="00931DE6">
              <w:rPr>
                <w:rFonts w:ascii="Arial" w:hAnsi="Arial" w:cs="Arial"/>
                <w:b/>
                <w:sz w:val="20"/>
              </w:rPr>
              <w:t>,</w:t>
            </w:r>
          </w:p>
          <w:p w:rsidR="00073E99" w:rsidRDefault="00073E99" w:rsidP="00073E99">
            <w:pPr>
              <w:pStyle w:val="EmptyCellLayoutStyle"/>
              <w:spacing w:after="0" w:line="240" w:lineRule="auto"/>
              <w:rPr>
                <w:rFonts w:ascii="Arial" w:hAnsi="Arial" w:cs="Arial"/>
                <w:b/>
                <w:sz w:val="20"/>
              </w:rPr>
            </w:pPr>
            <w:r>
              <w:rPr>
                <w:rFonts w:ascii="Arial" w:hAnsi="Arial" w:cs="Arial"/>
                <w:b/>
                <w:sz w:val="20"/>
              </w:rPr>
              <w:t xml:space="preserve"> Ilica 25,</w:t>
            </w:r>
            <w:r w:rsidRPr="00931DE6">
              <w:rPr>
                <w:rFonts w:ascii="Arial" w:hAnsi="Arial" w:cs="Arial"/>
                <w:b/>
                <w:sz w:val="20"/>
              </w:rPr>
              <w:t xml:space="preserve"> 10000 Zagreb</w:t>
            </w:r>
            <w:r>
              <w:rPr>
                <w:rFonts w:ascii="Arial" w:hAnsi="Arial" w:cs="Arial"/>
                <w:b/>
                <w:sz w:val="20"/>
              </w:rPr>
              <w:t>.</w:t>
            </w:r>
          </w:p>
          <w:p w:rsidR="00B2388C" w:rsidRDefault="00B2388C">
            <w:pPr>
              <w:pStyle w:val="EmptyCellLayoutStyle"/>
              <w:spacing w:after="0" w:line="240" w:lineRule="auto"/>
            </w:pPr>
          </w:p>
        </w:tc>
        <w:tc>
          <w:tcPr>
            <w:tcW w:w="5050" w:type="dxa"/>
          </w:tcPr>
          <w:p w:rsidR="00B2388C" w:rsidRDefault="00B2388C">
            <w:pPr>
              <w:pStyle w:val="EmptyCellLayoutStyle"/>
              <w:spacing w:after="0" w:line="240" w:lineRule="auto"/>
            </w:pPr>
          </w:p>
        </w:tc>
      </w:tr>
      <w:tr w:rsidR="00B2388C" w:rsidTr="00A8653F">
        <w:trPr>
          <w:trHeight w:val="20"/>
        </w:trPr>
        <w:tc>
          <w:tcPr>
            <w:tcW w:w="47" w:type="dxa"/>
          </w:tcPr>
          <w:p w:rsidR="00B2388C" w:rsidRDefault="00B2388C">
            <w:pPr>
              <w:pStyle w:val="EmptyCellLayoutStyle"/>
              <w:spacing w:after="0" w:line="240" w:lineRule="auto"/>
            </w:pPr>
          </w:p>
        </w:tc>
        <w:tc>
          <w:tcPr>
            <w:tcW w:w="20" w:type="dxa"/>
          </w:tcPr>
          <w:p w:rsidR="00B2388C" w:rsidRDefault="00B2388C">
            <w:pPr>
              <w:pStyle w:val="EmptyCellLayoutStyle"/>
              <w:spacing w:after="0" w:line="240" w:lineRule="auto"/>
            </w:pPr>
          </w:p>
        </w:tc>
        <w:tc>
          <w:tcPr>
            <w:tcW w:w="75" w:type="dxa"/>
          </w:tcPr>
          <w:p w:rsidR="00B2388C" w:rsidRDefault="00B2388C">
            <w:pPr>
              <w:pStyle w:val="EmptyCellLayoutStyle"/>
              <w:spacing w:after="0" w:line="240" w:lineRule="auto"/>
            </w:pPr>
          </w:p>
        </w:tc>
        <w:tc>
          <w:tcPr>
            <w:tcW w:w="10424" w:type="dxa"/>
          </w:tcPr>
          <w:p w:rsidR="00B2388C" w:rsidRDefault="00B2388C">
            <w:pPr>
              <w:pStyle w:val="EmptyCellLayoutStyle"/>
              <w:spacing w:after="0" w:line="240" w:lineRule="auto"/>
            </w:pPr>
          </w:p>
        </w:tc>
        <w:tc>
          <w:tcPr>
            <w:tcW w:w="5050" w:type="dxa"/>
          </w:tcPr>
          <w:p w:rsidR="00B2388C" w:rsidRDefault="00B2388C">
            <w:pPr>
              <w:pStyle w:val="EmptyCellLayoutStyle"/>
              <w:spacing w:after="0" w:line="240" w:lineRule="auto"/>
            </w:pPr>
          </w:p>
        </w:tc>
      </w:tr>
      <w:tr w:rsidR="00B2388C" w:rsidTr="00A8653F">
        <w:trPr>
          <w:trHeight w:val="440"/>
        </w:trPr>
        <w:tc>
          <w:tcPr>
            <w:tcW w:w="47" w:type="dxa"/>
          </w:tcPr>
          <w:p w:rsidR="00B2388C" w:rsidRDefault="00B2388C">
            <w:pPr>
              <w:pStyle w:val="EmptyCellLayoutStyle"/>
              <w:spacing w:after="0" w:line="240" w:lineRule="auto"/>
            </w:pPr>
          </w:p>
        </w:tc>
        <w:tc>
          <w:tcPr>
            <w:tcW w:w="20" w:type="dxa"/>
          </w:tcPr>
          <w:p w:rsidR="00B2388C" w:rsidRDefault="00B2388C">
            <w:pPr>
              <w:pStyle w:val="EmptyCellLayoutStyle"/>
              <w:spacing w:after="0" w:line="240" w:lineRule="auto"/>
            </w:pPr>
          </w:p>
        </w:tc>
        <w:tc>
          <w:tcPr>
            <w:tcW w:w="75" w:type="dxa"/>
          </w:tcPr>
          <w:p w:rsidR="00B2388C" w:rsidRDefault="00B2388C">
            <w:pPr>
              <w:pStyle w:val="EmptyCellLayoutStyle"/>
              <w:spacing w:after="0" w:line="240" w:lineRule="auto"/>
            </w:pPr>
          </w:p>
        </w:tc>
        <w:tc>
          <w:tcPr>
            <w:tcW w:w="10424" w:type="dxa"/>
          </w:tcPr>
          <w:p w:rsidR="00B2388C" w:rsidRDefault="00B2388C">
            <w:pPr>
              <w:pStyle w:val="EmptyCellLayoutStyle"/>
              <w:spacing w:after="0" w:line="240" w:lineRule="auto"/>
            </w:pPr>
          </w:p>
        </w:tc>
        <w:tc>
          <w:tcPr>
            <w:tcW w:w="5050" w:type="dxa"/>
          </w:tcPr>
          <w:p w:rsidR="00B2388C" w:rsidRDefault="00B2388C">
            <w:pPr>
              <w:pStyle w:val="EmptyCellLayoutStyle"/>
              <w:spacing w:after="0" w:line="240" w:lineRule="auto"/>
            </w:pPr>
          </w:p>
        </w:tc>
      </w:tr>
      <w:tr w:rsidR="00AB1CE6" w:rsidTr="00A8653F">
        <w:tc>
          <w:tcPr>
            <w:tcW w:w="47" w:type="dxa"/>
          </w:tcPr>
          <w:p w:rsidR="00B2388C" w:rsidRDefault="00B2388C">
            <w:pPr>
              <w:pStyle w:val="EmptyCellLayoutStyle"/>
              <w:spacing w:after="0" w:line="240" w:lineRule="auto"/>
            </w:pPr>
          </w:p>
        </w:tc>
        <w:tc>
          <w:tcPr>
            <w:tcW w:w="15569" w:type="dxa"/>
            <w:gridSpan w:val="4"/>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236"/>
              <w:gridCol w:w="1995"/>
              <w:gridCol w:w="6445"/>
              <w:gridCol w:w="5884"/>
            </w:tblGrid>
            <w:tr w:rsidR="00B2388C">
              <w:trPr>
                <w:trHeight w:val="778"/>
              </w:trPr>
              <w:tc>
                <w:tcPr>
                  <w:tcW w:w="1237" w:type="dxa"/>
                  <w:tcBorders>
                    <w:top w:val="single" w:sz="7" w:space="0" w:color="000000"/>
                    <w:left w:val="nil"/>
                    <w:bottom w:val="nil"/>
                    <w:right w:val="single" w:sz="7" w:space="0" w:color="000000"/>
                  </w:tcBorders>
                  <w:shd w:val="clear" w:color="auto" w:fill="0070C0"/>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b/>
                      <w:color w:val="FFFFFF"/>
                      <w:sz w:val="18"/>
                    </w:rPr>
                    <w:t>Redni broj</w:t>
                  </w:r>
                </w:p>
              </w:tc>
              <w:tc>
                <w:tcPr>
                  <w:tcW w:w="1995" w:type="dxa"/>
                  <w:tcBorders>
                    <w:top w:val="single" w:sz="7" w:space="0" w:color="000000"/>
                    <w:left w:val="nil"/>
                    <w:bottom w:val="nil"/>
                    <w:right w:val="single" w:sz="7" w:space="0" w:color="000000"/>
                  </w:tcBorders>
                  <w:shd w:val="clear" w:color="auto" w:fill="0070C0"/>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b/>
                      <w:color w:val="FFFFFF"/>
                      <w:sz w:val="18"/>
                    </w:rPr>
                    <w:t>Naziv podnositelja</w:t>
                  </w:r>
                </w:p>
              </w:tc>
              <w:tc>
                <w:tcPr>
                  <w:tcW w:w="6449" w:type="dxa"/>
                  <w:tcBorders>
                    <w:top w:val="single" w:sz="7" w:space="0" w:color="000000"/>
                    <w:left w:val="nil"/>
                    <w:bottom w:val="nil"/>
                    <w:right w:val="single" w:sz="7" w:space="0" w:color="000000"/>
                  </w:tcBorders>
                  <w:shd w:val="clear" w:color="auto" w:fill="0070C0"/>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b/>
                      <w:color w:val="FFFFFF"/>
                      <w:sz w:val="18"/>
                    </w:rPr>
                    <w:t>Naziv programa/projekta</w:t>
                  </w:r>
                </w:p>
              </w:tc>
              <w:tc>
                <w:tcPr>
                  <w:tcW w:w="5887" w:type="dxa"/>
                  <w:tcBorders>
                    <w:top w:val="single" w:sz="7" w:space="0" w:color="000000"/>
                    <w:left w:val="nil"/>
                    <w:bottom w:val="nil"/>
                    <w:right w:val="single" w:sz="7" w:space="0" w:color="000000"/>
                  </w:tcBorders>
                  <w:shd w:val="clear" w:color="auto" w:fill="0070C0"/>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b/>
                      <w:color w:val="FFFFFF"/>
                      <w:sz w:val="18"/>
                    </w:rPr>
                    <w:t>Razlog neispunjavanja uvjeta natječaja</w:t>
                  </w:r>
                </w:p>
              </w:tc>
            </w:tr>
            <w:tr w:rsidR="00B2388C">
              <w:trPr>
                <w:trHeight w:val="262"/>
              </w:trPr>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2388C" w:rsidRDefault="0080023E">
                  <w:pPr>
                    <w:spacing w:after="0" w:line="240" w:lineRule="auto"/>
                    <w:jc w:val="center"/>
                  </w:pPr>
                  <w:r>
                    <w:rPr>
                      <w:rFonts w:ascii="Arial" w:eastAsia="Arial" w:hAnsi="Arial"/>
                      <w:b/>
                      <w:color w:val="000000"/>
                      <w:sz w:val="18"/>
                    </w:rPr>
                    <w:t>1</w:t>
                  </w:r>
                </w:p>
              </w:tc>
              <w:tc>
                <w:tcPr>
                  <w:tcW w:w="199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2388C" w:rsidRDefault="0080023E">
                  <w:pPr>
                    <w:spacing w:after="0" w:line="240" w:lineRule="auto"/>
                    <w:jc w:val="center"/>
                  </w:pPr>
                  <w:r>
                    <w:rPr>
                      <w:rFonts w:ascii="Arial" w:eastAsia="Arial" w:hAnsi="Arial"/>
                      <w:b/>
                      <w:color w:val="000000"/>
                      <w:sz w:val="18"/>
                    </w:rPr>
                    <w:t>2</w:t>
                  </w:r>
                </w:p>
              </w:tc>
              <w:tc>
                <w:tcPr>
                  <w:tcW w:w="644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2388C" w:rsidRDefault="0080023E">
                  <w:pPr>
                    <w:spacing w:after="0" w:line="240" w:lineRule="auto"/>
                    <w:jc w:val="center"/>
                  </w:pPr>
                  <w:r>
                    <w:rPr>
                      <w:rFonts w:ascii="Arial" w:eastAsia="Arial" w:hAnsi="Arial"/>
                      <w:b/>
                      <w:color w:val="000000"/>
                      <w:sz w:val="18"/>
                    </w:rPr>
                    <w:t>3</w:t>
                  </w:r>
                </w:p>
              </w:tc>
              <w:tc>
                <w:tcPr>
                  <w:tcW w:w="58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2388C" w:rsidRDefault="0080023E">
                  <w:pPr>
                    <w:spacing w:after="0" w:line="240" w:lineRule="auto"/>
                    <w:jc w:val="center"/>
                  </w:pPr>
                  <w:r>
                    <w:rPr>
                      <w:rFonts w:ascii="Arial" w:eastAsia="Arial" w:hAnsi="Arial"/>
                      <w:b/>
                      <w:color w:val="000000"/>
                      <w:sz w:val="18"/>
                    </w:rPr>
                    <w:t>4</w:t>
                  </w:r>
                </w:p>
              </w:tc>
            </w:tr>
            <w:tr w:rsidR="00AB1CE6" w:rsidTr="00AB1CE6">
              <w:trPr>
                <w:trHeight w:val="262"/>
              </w:trPr>
              <w:tc>
                <w:tcPr>
                  <w:tcW w:w="1237" w:type="dxa"/>
                  <w:gridSpan w:val="4"/>
                  <w:tcBorders>
                    <w:top w:val="single" w:sz="7" w:space="0" w:color="000000"/>
                    <w:left w:val="single" w:sz="7" w:space="0" w:color="000000"/>
                    <w:bottom w:val="single" w:sz="7" w:space="0" w:color="000000"/>
                    <w:right w:val="single" w:sz="7" w:space="0" w:color="000000"/>
                  </w:tcBorders>
                  <w:shd w:val="clear" w:color="auto" w:fill="B0C4DE"/>
                  <w:tcMar>
                    <w:top w:w="39" w:type="dxa"/>
                    <w:left w:w="39" w:type="dxa"/>
                    <w:bottom w:w="39" w:type="dxa"/>
                    <w:right w:w="39" w:type="dxa"/>
                  </w:tcMar>
                  <w:vAlign w:val="center"/>
                </w:tcPr>
                <w:p w:rsidR="00B2388C" w:rsidRDefault="0080023E">
                  <w:pPr>
                    <w:spacing w:after="0" w:line="240" w:lineRule="auto"/>
                  </w:pPr>
                  <w:r>
                    <w:rPr>
                      <w:rFonts w:ascii="Arial" w:eastAsia="Arial" w:hAnsi="Arial"/>
                      <w:b/>
                      <w:color w:val="000000"/>
                      <w:sz w:val="18"/>
                    </w:rPr>
                    <w:t>Udruge mladih ili udruge za mlade</w:t>
                  </w:r>
                </w:p>
              </w:tc>
            </w:tr>
            <w:tr w:rsidR="00B2388C">
              <w:trPr>
                <w:trHeight w:val="262"/>
              </w:trPr>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1.</w:t>
                  </w:r>
                </w:p>
              </w:tc>
              <w:tc>
                <w:tcPr>
                  <w:tcW w:w="199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Baščovjek - organizacija za bolje društvo i promicanje duhovnih vrijednosti</w:t>
                  </w:r>
                </w:p>
              </w:tc>
              <w:tc>
                <w:tcPr>
                  <w:tcW w:w="644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Poticajni humanistički projekt i radionice Baščovjek</w:t>
                  </w:r>
                </w:p>
              </w:tc>
              <w:tc>
                <w:tcPr>
                  <w:tcW w:w="58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pPr>
                  <w:r>
                    <w:rPr>
                      <w:rFonts w:ascii="Arial" w:eastAsia="Arial" w:hAnsi="Arial"/>
                      <w:color w:val="000000"/>
                      <w:sz w:val="18"/>
                    </w:rPr>
                    <w:t>Točka 4.4. – nije javno objavljen godišnji financijski izvještaj ili drugi financijski dokument za godinu koja prethodi objavi Javnog natječaja putem Registra neprofitnih organizacija</w:t>
                  </w:r>
                </w:p>
              </w:tc>
            </w:tr>
            <w:tr w:rsidR="00B2388C">
              <w:trPr>
                <w:trHeight w:val="262"/>
              </w:trPr>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bookmarkStart w:id="0" w:name="_GoBack"/>
                  <w:bookmarkEnd w:id="0"/>
                  <w:r>
                    <w:rPr>
                      <w:rFonts w:ascii="Arial" w:eastAsia="Arial" w:hAnsi="Arial"/>
                      <w:color w:val="000000"/>
                      <w:sz w:val="18"/>
                    </w:rPr>
                    <w:t>2.</w:t>
                  </w:r>
                </w:p>
              </w:tc>
              <w:tc>
                <w:tcPr>
                  <w:tcW w:w="199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CENTAR ZA INKLUZIJU OSOBA S TJELESNIM I SENZORIČKIM INVALIDITETOM DODIROM SLUŠAM - DODIROM GOVORIM</w:t>
                  </w:r>
                </w:p>
              </w:tc>
              <w:tc>
                <w:tcPr>
                  <w:tcW w:w="644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Edukacija mladih o samozapošljavanju</w:t>
                  </w:r>
                </w:p>
              </w:tc>
              <w:tc>
                <w:tcPr>
                  <w:tcW w:w="58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pPr>
                  <w:r>
                    <w:rPr>
                      <w:rFonts w:ascii="Arial" w:eastAsia="Arial" w:hAnsi="Arial"/>
                      <w:color w:val="000000"/>
                      <w:sz w:val="18"/>
                    </w:rPr>
                    <w:t>Točka 4.10. – nedostaje dokaz da se protiv  odgovorne osobe udruge i voditelja programa/projekta ne vodi kazneni postupak.</w:t>
                  </w:r>
                </w:p>
              </w:tc>
            </w:tr>
            <w:tr w:rsidR="00B2388C" w:rsidTr="00E41363">
              <w:trPr>
                <w:trHeight w:val="2354"/>
              </w:trPr>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3.</w:t>
                  </w:r>
                </w:p>
              </w:tc>
              <w:tc>
                <w:tcPr>
                  <w:tcW w:w="199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FALA</w:t>
                  </w:r>
                </w:p>
              </w:tc>
              <w:tc>
                <w:tcPr>
                  <w:tcW w:w="644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Vjetar u nama</w:t>
                  </w:r>
                </w:p>
              </w:tc>
              <w:tc>
                <w:tcPr>
                  <w:tcW w:w="58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pPr>
                  <w:r>
                    <w:rPr>
                      <w:rFonts w:ascii="Arial" w:eastAsia="Arial" w:hAnsi="Arial"/>
                      <w:color w:val="000000"/>
                      <w:sz w:val="18"/>
                    </w:rPr>
                    <w:t xml:space="preserve">Točka 4.3. – osoba/e ovlaštene za zastupanje nisu u mandatu </w:t>
                  </w:r>
                </w:p>
              </w:tc>
            </w:tr>
            <w:tr w:rsidR="00B2388C">
              <w:trPr>
                <w:trHeight w:val="262"/>
              </w:trPr>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lastRenderedPageBreak/>
                    <w:t>4.</w:t>
                  </w:r>
                </w:p>
              </w:tc>
              <w:tc>
                <w:tcPr>
                  <w:tcW w:w="199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Hrvatski glazbeni zavod</w:t>
                  </w:r>
                </w:p>
              </w:tc>
              <w:tc>
                <w:tcPr>
                  <w:tcW w:w="644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 xml:space="preserve">Glazbena jutra s </w:t>
                  </w:r>
                  <w:proofErr w:type="spellStart"/>
                  <w:r>
                    <w:rPr>
                      <w:rFonts w:ascii="Arial" w:eastAsia="Arial" w:hAnsi="Arial"/>
                      <w:color w:val="000000"/>
                      <w:sz w:val="18"/>
                    </w:rPr>
                    <w:t>Glazbaonicom</w:t>
                  </w:r>
                  <w:proofErr w:type="spellEnd"/>
                  <w:r>
                    <w:rPr>
                      <w:rFonts w:ascii="Arial" w:eastAsia="Arial" w:hAnsi="Arial"/>
                      <w:color w:val="000000"/>
                      <w:sz w:val="18"/>
                    </w:rPr>
                    <w:t xml:space="preserve"> Ljubav u Hrvatskom glazbenom zavodu</w:t>
                  </w:r>
                </w:p>
              </w:tc>
              <w:tc>
                <w:tcPr>
                  <w:tcW w:w="58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pPr>
                  <w:r>
                    <w:rPr>
                      <w:rFonts w:ascii="Arial" w:eastAsia="Arial" w:hAnsi="Arial"/>
                      <w:color w:val="000000"/>
                      <w:sz w:val="18"/>
                    </w:rPr>
                    <w:t xml:space="preserve">Točka 5.1.1. – nedostaje Izjava o partnerstvu, Životopis voditelja projekta ili programa nije na propisanom obrascu; </w:t>
                  </w:r>
                  <w:r>
                    <w:rPr>
                      <w:rFonts w:ascii="Arial" w:eastAsia="Arial" w:hAnsi="Arial"/>
                      <w:color w:val="000000"/>
                      <w:sz w:val="18"/>
                    </w:rPr>
                    <w:br/>
                    <w:t>Točka 5.1.2. – nedostaje Uvjerenje da se protiv odgovorne osobe podnositelja prijave i voditelja programa ili projekta ne vodi kazneni postupak, ne starije od 6 mjeseci od dana objave Javnog natječaja;</w:t>
                  </w:r>
                  <w:r>
                    <w:rPr>
                      <w:rFonts w:ascii="Arial" w:eastAsia="Arial" w:hAnsi="Arial"/>
                      <w:color w:val="000000"/>
                      <w:sz w:val="18"/>
                    </w:rPr>
                    <w:br/>
                    <w:t xml:space="preserve">Točka 4.10. – nedostaje dokaz da se protiv udruge odnosno odgovorne osobe udruge i voditelja programa/projekta ne vodi kazneni postupak; </w:t>
                  </w:r>
                  <w:r>
                    <w:rPr>
                      <w:rFonts w:ascii="Arial" w:eastAsia="Arial" w:hAnsi="Arial"/>
                      <w:color w:val="000000"/>
                      <w:sz w:val="18"/>
                    </w:rPr>
                    <w:br/>
                    <w:t>Točka 5.1.3. – nedostaje dokaz o solventnosti udruge (BON2 / SOL2) ne stariji od 30 dana od dana objave Javnog natječaja;</w:t>
                  </w:r>
                  <w:r>
                    <w:rPr>
                      <w:rFonts w:ascii="Arial" w:eastAsia="Arial" w:hAnsi="Arial"/>
                      <w:color w:val="000000"/>
                      <w:sz w:val="18"/>
                    </w:rPr>
                    <w:br/>
                    <w:t>Točka 4.9. - ne ispunjava uvjet organizacijskih kapaciteta i ljudskih resursa za provedbu programa i projekata, obavljanja javnih ovlasti i pružanja socijalnih usluga te da su solventni;</w:t>
                  </w:r>
                  <w:r>
                    <w:rPr>
                      <w:rFonts w:ascii="Arial" w:eastAsia="Arial" w:hAnsi="Arial"/>
                      <w:color w:val="000000"/>
                      <w:sz w:val="18"/>
                    </w:rPr>
                    <w:br/>
                    <w:t>Točka 5.1.4. – nedostaje potvrda nadležne porezne uprave o nepostojanju duga prema državnom proračunu, ne starije od 30 dana od dana objave Javnog natječaja;</w:t>
                  </w:r>
                  <w:r>
                    <w:rPr>
                      <w:rFonts w:ascii="Arial" w:eastAsia="Arial" w:hAnsi="Arial"/>
                      <w:color w:val="000000"/>
                      <w:sz w:val="18"/>
                    </w:rPr>
                    <w:br/>
                    <w:t>Točka 4.8. - udruga ne ispunjava uvjet plaćanja doprinosa i poreza te druga davanja prema državnom proračunu i proračunu Grada Zagreba</w:t>
                  </w:r>
                </w:p>
              </w:tc>
            </w:tr>
            <w:tr w:rsidR="00B2388C">
              <w:trPr>
                <w:trHeight w:val="262"/>
              </w:trPr>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5.</w:t>
                  </w:r>
                </w:p>
              </w:tc>
              <w:tc>
                <w:tcPr>
                  <w:tcW w:w="199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Knjižni blok - Inicijativa za knjigu</w:t>
                  </w:r>
                </w:p>
              </w:tc>
              <w:tc>
                <w:tcPr>
                  <w:tcW w:w="644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KREATIVNE INDUSTRIJE: UVOD U PODUZETNIŠTVO U SEKTORU KNJIGE I VEZANIH STRUKA ZA SREDNJOŠKOLCE</w:t>
                  </w:r>
                </w:p>
              </w:tc>
              <w:tc>
                <w:tcPr>
                  <w:tcW w:w="58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pPr>
                  <w:r>
                    <w:rPr>
                      <w:rFonts w:ascii="Arial" w:eastAsia="Arial" w:hAnsi="Arial"/>
                      <w:color w:val="000000"/>
                      <w:sz w:val="18"/>
                    </w:rPr>
                    <w:t>Točka 4.3. – osoba/e ovlaštene za zastupanje nisu u mandatu</w:t>
                  </w:r>
                </w:p>
              </w:tc>
            </w:tr>
            <w:tr w:rsidR="00B2388C">
              <w:trPr>
                <w:trHeight w:val="262"/>
              </w:trPr>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6.</w:t>
                  </w:r>
                </w:p>
              </w:tc>
              <w:tc>
                <w:tcPr>
                  <w:tcW w:w="199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Knjižni blok - Inicijativa za knjigu</w:t>
                  </w:r>
                </w:p>
              </w:tc>
              <w:tc>
                <w:tcPr>
                  <w:tcW w:w="644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KREATIVNI MALI PODUZETNICI - UVOD U PODUZETNIŠTVO U KREATIVNOM SEKTORU ZA DJECU I MLADE</w:t>
                  </w:r>
                </w:p>
              </w:tc>
              <w:tc>
                <w:tcPr>
                  <w:tcW w:w="58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pPr>
                  <w:r>
                    <w:rPr>
                      <w:rFonts w:ascii="Arial" w:eastAsia="Arial" w:hAnsi="Arial"/>
                      <w:color w:val="000000"/>
                      <w:sz w:val="18"/>
                    </w:rPr>
                    <w:t>Točka 4.3. – osoba/e ovlaštene za zastupanje nisu u mandatu</w:t>
                  </w:r>
                </w:p>
              </w:tc>
            </w:tr>
            <w:tr w:rsidR="00B2388C">
              <w:trPr>
                <w:trHeight w:val="262"/>
              </w:trPr>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7.</w:t>
                  </w:r>
                </w:p>
              </w:tc>
              <w:tc>
                <w:tcPr>
                  <w:tcW w:w="199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 xml:space="preserve">MNK Meteora </w:t>
                  </w:r>
                  <w:proofErr w:type="spellStart"/>
                  <w:r>
                    <w:rPr>
                      <w:rFonts w:ascii="Arial" w:eastAsia="Arial" w:hAnsi="Arial"/>
                      <w:color w:val="000000"/>
                      <w:sz w:val="18"/>
                    </w:rPr>
                    <w:t>Futsal</w:t>
                  </w:r>
                  <w:proofErr w:type="spellEnd"/>
                </w:p>
              </w:tc>
              <w:tc>
                <w:tcPr>
                  <w:tcW w:w="644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 xml:space="preserve">7. Zagreb </w:t>
                  </w:r>
                  <w:proofErr w:type="spellStart"/>
                  <w:r>
                    <w:rPr>
                      <w:rFonts w:ascii="Arial" w:eastAsia="Arial" w:hAnsi="Arial"/>
                      <w:color w:val="000000"/>
                      <w:sz w:val="18"/>
                    </w:rPr>
                    <w:t>Winter</w:t>
                  </w:r>
                  <w:proofErr w:type="spellEnd"/>
                  <w:r>
                    <w:rPr>
                      <w:rFonts w:ascii="Arial" w:eastAsia="Arial" w:hAnsi="Arial"/>
                      <w:color w:val="000000"/>
                      <w:sz w:val="18"/>
                    </w:rPr>
                    <w:t xml:space="preserve"> Cup</w:t>
                  </w:r>
                </w:p>
              </w:tc>
              <w:tc>
                <w:tcPr>
                  <w:tcW w:w="58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pPr>
                  <w:r>
                    <w:rPr>
                      <w:rFonts w:ascii="Arial" w:eastAsia="Arial" w:hAnsi="Arial"/>
                      <w:color w:val="000000"/>
                      <w:sz w:val="18"/>
                    </w:rPr>
                    <w:t>Točka 5.1.3. – nedostaje dokaz o solventnosti udruge (BON2 / SOL2) ne stariji od 30 dana od dana objave Javnog natječaja;</w:t>
                  </w:r>
                  <w:r>
                    <w:rPr>
                      <w:rFonts w:ascii="Arial" w:eastAsia="Arial" w:hAnsi="Arial"/>
                      <w:color w:val="000000"/>
                      <w:sz w:val="18"/>
                    </w:rPr>
                    <w:br/>
                    <w:t>Točka 4.9. - imaju organizacijske kapacitete i ljudske resurse za provedbu programa i projekata, obavljanje javnih ovlasti i pružanje socijalnih usluga te da su solventni</w:t>
                  </w:r>
                </w:p>
              </w:tc>
            </w:tr>
            <w:tr w:rsidR="00B2388C">
              <w:trPr>
                <w:trHeight w:val="262"/>
              </w:trPr>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8.</w:t>
                  </w:r>
                </w:p>
              </w:tc>
              <w:tc>
                <w:tcPr>
                  <w:tcW w:w="199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RK LIBRA TEHNIČAR</w:t>
                  </w:r>
                </w:p>
              </w:tc>
              <w:tc>
                <w:tcPr>
                  <w:tcW w:w="644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 xml:space="preserve">Škola rukometa </w:t>
                  </w:r>
                  <w:proofErr w:type="spellStart"/>
                  <w:r>
                    <w:rPr>
                      <w:rFonts w:ascii="Arial" w:eastAsia="Arial" w:hAnsi="Arial"/>
                      <w:color w:val="000000"/>
                      <w:sz w:val="18"/>
                    </w:rPr>
                    <w:t>Librići</w:t>
                  </w:r>
                  <w:proofErr w:type="spellEnd"/>
                </w:p>
              </w:tc>
              <w:tc>
                <w:tcPr>
                  <w:tcW w:w="58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pPr>
                  <w:r>
                    <w:rPr>
                      <w:rFonts w:ascii="Arial" w:eastAsia="Arial" w:hAnsi="Arial"/>
                      <w:color w:val="000000"/>
                      <w:sz w:val="18"/>
                    </w:rPr>
                    <w:t>Točka 4.4. – nije javno objavljen godišnji financijski izvještaj ili drugi financijski dokument za godinu koja prethodi objavi Javnog natječaja putem Registra neprofitnih organizacija</w:t>
                  </w:r>
                </w:p>
              </w:tc>
            </w:tr>
            <w:tr w:rsidR="00B2388C">
              <w:trPr>
                <w:trHeight w:val="262"/>
              </w:trPr>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9.</w:t>
                  </w:r>
                </w:p>
              </w:tc>
              <w:tc>
                <w:tcPr>
                  <w:tcW w:w="199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RK LIBRA TEHNIČAR</w:t>
                  </w:r>
                </w:p>
              </w:tc>
              <w:tc>
                <w:tcPr>
                  <w:tcW w:w="644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RUKOMETOM DA ZDRAVLJA</w:t>
                  </w:r>
                </w:p>
              </w:tc>
              <w:tc>
                <w:tcPr>
                  <w:tcW w:w="58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pPr>
                  <w:r>
                    <w:rPr>
                      <w:rFonts w:ascii="Arial" w:eastAsia="Arial" w:hAnsi="Arial"/>
                      <w:color w:val="000000"/>
                      <w:sz w:val="18"/>
                    </w:rPr>
                    <w:t>Točka 4.4. – nije javno objavljen godišnji financijski izvještaj ili drugi financijski dokument za godinu koja prethodi objavi Javnog natječaja putem Registra neprofitnih organizacija</w:t>
                  </w:r>
                </w:p>
              </w:tc>
            </w:tr>
            <w:tr w:rsidR="00B2388C">
              <w:trPr>
                <w:trHeight w:val="262"/>
              </w:trPr>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10.</w:t>
                  </w:r>
                </w:p>
              </w:tc>
              <w:tc>
                <w:tcPr>
                  <w:tcW w:w="199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Savez mladih Grada Zagreba</w:t>
                  </w:r>
                </w:p>
              </w:tc>
              <w:tc>
                <w:tcPr>
                  <w:tcW w:w="644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Ujedinjeni u različitosti</w:t>
                  </w:r>
                </w:p>
              </w:tc>
              <w:tc>
                <w:tcPr>
                  <w:tcW w:w="58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491E28">
                  <w:pPr>
                    <w:spacing w:after="0" w:line="240" w:lineRule="auto"/>
                  </w:pPr>
                  <w:r>
                    <w:rPr>
                      <w:rFonts w:ascii="Arial" w:eastAsia="Arial" w:hAnsi="Arial"/>
                      <w:color w:val="000000"/>
                      <w:sz w:val="18"/>
                    </w:rPr>
                    <w:t>Točka 5.1.3. – dokaz o solventnosti udruge (BON2 / SOL2) nije vjerodostojan.</w:t>
                  </w:r>
                </w:p>
              </w:tc>
            </w:tr>
            <w:tr w:rsidR="00B2388C">
              <w:trPr>
                <w:trHeight w:val="262"/>
              </w:trPr>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11.</w:t>
                  </w:r>
                </w:p>
              </w:tc>
              <w:tc>
                <w:tcPr>
                  <w:tcW w:w="199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Savez mladih Grada Zagreba</w:t>
                  </w:r>
                </w:p>
              </w:tc>
              <w:tc>
                <w:tcPr>
                  <w:tcW w:w="644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Tehnologijom u bolju budućnost</w:t>
                  </w:r>
                </w:p>
              </w:tc>
              <w:tc>
                <w:tcPr>
                  <w:tcW w:w="58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rsidP="004E3989">
                  <w:pPr>
                    <w:spacing w:after="0" w:line="240" w:lineRule="auto"/>
                  </w:pPr>
                  <w:r>
                    <w:rPr>
                      <w:rFonts w:ascii="Arial" w:eastAsia="Arial" w:hAnsi="Arial"/>
                      <w:color w:val="000000"/>
                      <w:sz w:val="18"/>
                    </w:rPr>
                    <w:t>Točka 5.1.3. –</w:t>
                  </w:r>
                  <w:r w:rsidR="003E5139">
                    <w:rPr>
                      <w:rFonts w:ascii="Arial" w:eastAsia="Arial" w:hAnsi="Arial"/>
                      <w:color w:val="000000"/>
                      <w:sz w:val="18"/>
                    </w:rPr>
                    <w:t xml:space="preserve"> </w:t>
                  </w:r>
                  <w:r>
                    <w:rPr>
                      <w:rFonts w:ascii="Arial" w:eastAsia="Arial" w:hAnsi="Arial"/>
                      <w:color w:val="000000"/>
                      <w:sz w:val="18"/>
                    </w:rPr>
                    <w:t xml:space="preserve">dokaz o solventnosti udruge (BON2 / SOL2) </w:t>
                  </w:r>
                  <w:r w:rsidR="004E3989">
                    <w:rPr>
                      <w:rFonts w:ascii="Arial" w:eastAsia="Arial" w:hAnsi="Arial"/>
                      <w:color w:val="000000"/>
                      <w:sz w:val="18"/>
                    </w:rPr>
                    <w:t>nije vjerodostojan.</w:t>
                  </w:r>
                </w:p>
              </w:tc>
            </w:tr>
            <w:tr w:rsidR="00B2388C">
              <w:trPr>
                <w:trHeight w:val="262"/>
              </w:trPr>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12.</w:t>
                  </w:r>
                </w:p>
              </w:tc>
              <w:tc>
                <w:tcPr>
                  <w:tcW w:w="199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Savez mladih Grada Zagreba</w:t>
                  </w:r>
                </w:p>
              </w:tc>
              <w:tc>
                <w:tcPr>
                  <w:tcW w:w="644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Pobijedimo nezaposlenost</w:t>
                  </w:r>
                </w:p>
              </w:tc>
              <w:tc>
                <w:tcPr>
                  <w:tcW w:w="58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491E28" w:rsidP="00491E28">
                  <w:pPr>
                    <w:spacing w:after="0" w:line="240" w:lineRule="auto"/>
                  </w:pPr>
                  <w:r>
                    <w:rPr>
                      <w:rFonts w:ascii="Arial" w:eastAsia="Arial" w:hAnsi="Arial"/>
                      <w:color w:val="000000"/>
                      <w:sz w:val="18"/>
                    </w:rPr>
                    <w:t>Točka 5.1.3. – dokaz o solventnosti udruge (BON2 / SOL2) nije vjerodostojan.</w:t>
                  </w:r>
                </w:p>
              </w:tc>
            </w:tr>
            <w:tr w:rsidR="00B2388C">
              <w:trPr>
                <w:trHeight w:val="262"/>
              </w:trPr>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13.</w:t>
                  </w:r>
                </w:p>
              </w:tc>
              <w:tc>
                <w:tcPr>
                  <w:tcW w:w="199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Sportska udruga Argo</w:t>
                  </w:r>
                </w:p>
              </w:tc>
              <w:tc>
                <w:tcPr>
                  <w:tcW w:w="644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Bjelovar na zagrebačkom moru</w:t>
                  </w:r>
                </w:p>
              </w:tc>
              <w:tc>
                <w:tcPr>
                  <w:tcW w:w="58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pPr>
                  <w:r>
                    <w:rPr>
                      <w:rFonts w:ascii="Arial" w:eastAsia="Arial" w:hAnsi="Arial"/>
                      <w:color w:val="000000"/>
                      <w:sz w:val="18"/>
                    </w:rPr>
                    <w:t>Točka 4.1. – udruga nema registrirano sjedište u Gradu Zagrebu najmanje jednu godinu prije dana objave Javnog natječaja (sjedište udruge je u Bjelovar)</w:t>
                  </w:r>
                </w:p>
              </w:tc>
            </w:tr>
            <w:tr w:rsidR="00B2388C" w:rsidTr="009D1005">
              <w:trPr>
                <w:trHeight w:val="1135"/>
              </w:trPr>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14.</w:t>
                  </w:r>
                </w:p>
              </w:tc>
              <w:tc>
                <w:tcPr>
                  <w:tcW w:w="199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proofErr w:type="spellStart"/>
                  <w:r>
                    <w:rPr>
                      <w:rFonts w:ascii="Arial" w:eastAsia="Arial" w:hAnsi="Arial"/>
                      <w:color w:val="000000"/>
                      <w:sz w:val="18"/>
                    </w:rPr>
                    <w:t>SveMir</w:t>
                  </w:r>
                  <w:proofErr w:type="spellEnd"/>
                  <w:r>
                    <w:rPr>
                      <w:rFonts w:ascii="Arial" w:eastAsia="Arial" w:hAnsi="Arial"/>
                      <w:color w:val="000000"/>
                      <w:sz w:val="18"/>
                    </w:rPr>
                    <w:t xml:space="preserve"> Udruga za promicanje i razvoj ljudskih potencijala</w:t>
                  </w:r>
                </w:p>
              </w:tc>
              <w:tc>
                <w:tcPr>
                  <w:tcW w:w="644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"Kako mladi mogu prezentirati svoje znanje?!"</w:t>
                  </w:r>
                </w:p>
              </w:tc>
              <w:tc>
                <w:tcPr>
                  <w:tcW w:w="58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pPr>
                  <w:r>
                    <w:rPr>
                      <w:rFonts w:ascii="Arial" w:eastAsia="Arial" w:hAnsi="Arial"/>
                      <w:color w:val="000000"/>
                      <w:sz w:val="18"/>
                    </w:rPr>
                    <w:t>Točka 4.4. – nije javno objavljen godišnji financijski izvještaj ili drugi financijski dokument za godinu koja prethodi objavi Javnog natječaja putem Registra neprofitnih organizacija</w:t>
                  </w:r>
                </w:p>
              </w:tc>
            </w:tr>
            <w:tr w:rsidR="00B2388C">
              <w:trPr>
                <w:trHeight w:val="262"/>
              </w:trPr>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lastRenderedPageBreak/>
                    <w:t>15.</w:t>
                  </w:r>
                </w:p>
              </w:tc>
              <w:tc>
                <w:tcPr>
                  <w:tcW w:w="199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 xml:space="preserve">Udruga Jedna nova poruka </w:t>
                  </w:r>
                </w:p>
              </w:tc>
              <w:tc>
                <w:tcPr>
                  <w:tcW w:w="644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 xml:space="preserve">IPA - </w:t>
                  </w:r>
                  <w:proofErr w:type="spellStart"/>
                  <w:r>
                    <w:rPr>
                      <w:rFonts w:ascii="Arial" w:eastAsia="Arial" w:hAnsi="Arial"/>
                      <w:color w:val="000000"/>
                      <w:sz w:val="18"/>
                    </w:rPr>
                    <w:t>Intergeneracijska</w:t>
                  </w:r>
                  <w:proofErr w:type="spellEnd"/>
                  <w:r>
                    <w:rPr>
                      <w:rFonts w:ascii="Arial" w:eastAsia="Arial" w:hAnsi="Arial"/>
                      <w:color w:val="000000"/>
                      <w:sz w:val="18"/>
                    </w:rPr>
                    <w:t xml:space="preserve"> poruka afirmacije</w:t>
                  </w:r>
                </w:p>
              </w:tc>
              <w:tc>
                <w:tcPr>
                  <w:tcW w:w="58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pPr>
                  <w:r>
                    <w:rPr>
                      <w:rFonts w:ascii="Arial" w:eastAsia="Arial" w:hAnsi="Arial"/>
                      <w:color w:val="000000"/>
                      <w:sz w:val="18"/>
                    </w:rPr>
                    <w:t>Točka 4.1. – udruga nije upisana u Registar udruga ili drugi odgovarajući registar i registrirano sjedište u Gradu Zagrebu najmanje jednu godinu prije dana objave Javnog natječaja;</w:t>
                  </w:r>
                  <w:r>
                    <w:rPr>
                      <w:rFonts w:ascii="Arial" w:eastAsia="Arial" w:hAnsi="Arial"/>
                      <w:color w:val="000000"/>
                      <w:sz w:val="18"/>
                    </w:rPr>
                    <w:br/>
                    <w:t xml:space="preserve">Točka 4.3. - mandat osoba/e ovlaštene/ih za zastupanje nije poznat; </w:t>
                  </w:r>
                  <w:r>
                    <w:rPr>
                      <w:rFonts w:ascii="Arial" w:eastAsia="Arial" w:hAnsi="Arial"/>
                      <w:color w:val="000000"/>
                      <w:sz w:val="18"/>
                    </w:rPr>
                    <w:br/>
                    <w:t>Točka 4.4. - nije javno objavljen godišnji financijski izvještaj ili drugi financijski dokument za godinu koja prethodi objavi Javnog natječaja putem Registra neprofitnih organizacija (objavljeno godišnje financijsko izvješće za prvo polugodište 2019., bilanca za 2019. nije unesena);</w:t>
                  </w:r>
                  <w:r>
                    <w:rPr>
                      <w:rFonts w:ascii="Arial" w:eastAsia="Arial" w:hAnsi="Arial"/>
                      <w:color w:val="000000"/>
                      <w:sz w:val="18"/>
                    </w:rPr>
                    <w:br/>
                    <w:t>Točka 5.1.1. - nedostaje Izjava o partnerstvu za navedenog partnera</w:t>
                  </w:r>
                </w:p>
              </w:tc>
            </w:tr>
            <w:tr w:rsidR="00B2388C">
              <w:trPr>
                <w:trHeight w:val="262"/>
              </w:trPr>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16.</w:t>
                  </w:r>
                </w:p>
              </w:tc>
              <w:tc>
                <w:tcPr>
                  <w:tcW w:w="199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Udruga Ljepota je u prirodi "Bella"</w:t>
                  </w:r>
                </w:p>
              </w:tc>
              <w:tc>
                <w:tcPr>
                  <w:tcW w:w="644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"Prvi koraci u poduzetništvu"</w:t>
                  </w:r>
                </w:p>
              </w:tc>
              <w:tc>
                <w:tcPr>
                  <w:tcW w:w="58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pPr>
                  <w:r>
                    <w:rPr>
                      <w:rFonts w:ascii="Arial" w:eastAsia="Arial" w:hAnsi="Arial"/>
                      <w:color w:val="000000"/>
                      <w:sz w:val="18"/>
                    </w:rPr>
                    <w:t xml:space="preserve">Točka 4.3. – osoba/e ovlaštene za zastupanje nisu u mandatu </w:t>
                  </w:r>
                </w:p>
              </w:tc>
            </w:tr>
            <w:tr w:rsidR="00B2388C">
              <w:trPr>
                <w:trHeight w:val="262"/>
              </w:trPr>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17.</w:t>
                  </w:r>
                </w:p>
              </w:tc>
              <w:tc>
                <w:tcPr>
                  <w:tcW w:w="199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 xml:space="preserve">Udruga </w:t>
                  </w:r>
                  <w:proofErr w:type="spellStart"/>
                  <w:r>
                    <w:rPr>
                      <w:rFonts w:ascii="Arial" w:eastAsia="Arial" w:hAnsi="Arial"/>
                      <w:color w:val="000000"/>
                      <w:sz w:val="18"/>
                    </w:rPr>
                    <w:t>media</w:t>
                  </w:r>
                  <w:proofErr w:type="spellEnd"/>
                  <w:r>
                    <w:rPr>
                      <w:rFonts w:ascii="Arial" w:eastAsia="Arial" w:hAnsi="Arial"/>
                      <w:color w:val="000000"/>
                      <w:sz w:val="18"/>
                    </w:rPr>
                    <w:t xml:space="preserve"> talenti</w:t>
                  </w:r>
                </w:p>
              </w:tc>
              <w:tc>
                <w:tcPr>
                  <w:tcW w:w="644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Intervju - mala škola novinarstva 3</w:t>
                  </w:r>
                </w:p>
              </w:tc>
              <w:tc>
                <w:tcPr>
                  <w:tcW w:w="58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pPr>
                  <w:r>
                    <w:rPr>
                      <w:rFonts w:ascii="Arial" w:eastAsia="Arial" w:hAnsi="Arial"/>
                      <w:color w:val="000000"/>
                      <w:sz w:val="18"/>
                    </w:rPr>
                    <w:t xml:space="preserve">Točka 4.3. – osoba/e ovlaštene za zastupanje nisu u mandatu </w:t>
                  </w:r>
                </w:p>
              </w:tc>
            </w:tr>
            <w:tr w:rsidR="00B2388C">
              <w:trPr>
                <w:trHeight w:val="262"/>
              </w:trPr>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18.</w:t>
                  </w:r>
                </w:p>
              </w:tc>
              <w:tc>
                <w:tcPr>
                  <w:tcW w:w="199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 xml:space="preserve">Udruga </w:t>
                  </w:r>
                  <w:proofErr w:type="spellStart"/>
                  <w:r>
                    <w:rPr>
                      <w:rFonts w:ascii="Arial" w:eastAsia="Arial" w:hAnsi="Arial"/>
                      <w:color w:val="000000"/>
                      <w:sz w:val="18"/>
                    </w:rPr>
                    <w:t>Tonkica</w:t>
                  </w:r>
                  <w:proofErr w:type="spellEnd"/>
                  <w:r>
                    <w:rPr>
                      <w:rFonts w:ascii="Arial" w:eastAsia="Arial" w:hAnsi="Arial"/>
                      <w:color w:val="000000"/>
                      <w:sz w:val="18"/>
                    </w:rPr>
                    <w:t xml:space="preserve"> </w:t>
                  </w:r>
                  <w:proofErr w:type="spellStart"/>
                  <w:r>
                    <w:rPr>
                      <w:rFonts w:ascii="Arial" w:eastAsia="Arial" w:hAnsi="Arial"/>
                      <w:color w:val="000000"/>
                      <w:sz w:val="18"/>
                    </w:rPr>
                    <w:t>palonkica</w:t>
                  </w:r>
                  <w:proofErr w:type="spellEnd"/>
                  <w:r>
                    <w:rPr>
                      <w:rFonts w:ascii="Arial" w:eastAsia="Arial" w:hAnsi="Arial"/>
                      <w:color w:val="000000"/>
                      <w:sz w:val="18"/>
                    </w:rPr>
                    <w:t xml:space="preserve"> </w:t>
                  </w:r>
                  <w:proofErr w:type="spellStart"/>
                  <w:r>
                    <w:rPr>
                      <w:rFonts w:ascii="Arial" w:eastAsia="Arial" w:hAnsi="Arial"/>
                      <w:color w:val="000000"/>
                      <w:sz w:val="18"/>
                    </w:rPr>
                    <w:t>frrr</w:t>
                  </w:r>
                  <w:proofErr w:type="spellEnd"/>
                </w:p>
              </w:tc>
              <w:tc>
                <w:tcPr>
                  <w:tcW w:w="644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RADIJSKA EMISIJA "ZAGONETNO PUTOVANJE"</w:t>
                  </w:r>
                </w:p>
              </w:tc>
              <w:tc>
                <w:tcPr>
                  <w:tcW w:w="58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pPr>
                  <w:r>
                    <w:rPr>
                      <w:rFonts w:ascii="Arial" w:eastAsia="Arial" w:hAnsi="Arial"/>
                      <w:color w:val="000000"/>
                      <w:sz w:val="18"/>
                    </w:rPr>
                    <w:t xml:space="preserve">Točka 4.3. – osoba/e ovlaštene za zastupanje nisu u mandatu </w:t>
                  </w:r>
                </w:p>
              </w:tc>
            </w:tr>
            <w:tr w:rsidR="00B2388C">
              <w:trPr>
                <w:trHeight w:val="262"/>
              </w:trPr>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19.</w:t>
                  </w:r>
                </w:p>
              </w:tc>
              <w:tc>
                <w:tcPr>
                  <w:tcW w:w="199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 xml:space="preserve">ULK </w:t>
                  </w:r>
                  <w:proofErr w:type="spellStart"/>
                  <w:r>
                    <w:rPr>
                      <w:rFonts w:ascii="Arial" w:eastAsia="Arial" w:hAnsi="Arial"/>
                      <w:color w:val="000000"/>
                      <w:sz w:val="18"/>
                    </w:rPr>
                    <w:t>Carpe</w:t>
                  </w:r>
                  <w:proofErr w:type="spellEnd"/>
                  <w:r>
                    <w:rPr>
                      <w:rFonts w:ascii="Arial" w:eastAsia="Arial" w:hAnsi="Arial"/>
                      <w:color w:val="000000"/>
                      <w:sz w:val="18"/>
                    </w:rPr>
                    <w:t xml:space="preserve"> </w:t>
                  </w:r>
                  <w:proofErr w:type="spellStart"/>
                  <w:r>
                    <w:rPr>
                      <w:rFonts w:ascii="Arial" w:eastAsia="Arial" w:hAnsi="Arial"/>
                      <w:color w:val="000000"/>
                      <w:sz w:val="18"/>
                    </w:rPr>
                    <w:t>Diem</w:t>
                  </w:r>
                  <w:proofErr w:type="spellEnd"/>
                </w:p>
              </w:tc>
              <w:tc>
                <w:tcPr>
                  <w:tcW w:w="644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jc w:val="center"/>
                  </w:pPr>
                  <w:r>
                    <w:rPr>
                      <w:rFonts w:ascii="Arial" w:eastAsia="Arial" w:hAnsi="Arial"/>
                      <w:color w:val="000000"/>
                      <w:sz w:val="18"/>
                    </w:rPr>
                    <w:t>ŠKOLICA FINANCIJSKE PISMENOSTI (ŠFP)</w:t>
                  </w:r>
                </w:p>
              </w:tc>
              <w:tc>
                <w:tcPr>
                  <w:tcW w:w="58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2388C" w:rsidRDefault="0080023E">
                  <w:pPr>
                    <w:spacing w:after="0" w:line="240" w:lineRule="auto"/>
                  </w:pPr>
                  <w:r>
                    <w:rPr>
                      <w:rFonts w:ascii="Arial" w:eastAsia="Arial" w:hAnsi="Arial"/>
                      <w:color w:val="000000"/>
                      <w:sz w:val="18"/>
                    </w:rPr>
                    <w:t>Točka 5.1.1. – nedostaje Izjava o partnerstvu;</w:t>
                  </w:r>
                  <w:r>
                    <w:rPr>
                      <w:rFonts w:ascii="Arial" w:eastAsia="Arial" w:hAnsi="Arial"/>
                      <w:color w:val="000000"/>
                      <w:sz w:val="18"/>
                    </w:rPr>
                    <w:br/>
                    <w:t>Točka 5.1.4. – nedostaje potvrda nadležne porezne uprave o nepostojanju duga prema državnom proračunu, ne starije od 30 dana od dana objave Javnog natječaja;</w:t>
                  </w:r>
                  <w:r>
                    <w:rPr>
                      <w:rFonts w:ascii="Arial" w:eastAsia="Arial" w:hAnsi="Arial"/>
                      <w:color w:val="000000"/>
                      <w:sz w:val="18"/>
                    </w:rPr>
                    <w:br/>
                    <w:t>Točka 4.8. - udruga ne plaća uredno doprinose i poreze te druga davanja prema državnom proračunu i proračunu Grada Zagreba</w:t>
                  </w:r>
                </w:p>
              </w:tc>
            </w:tr>
          </w:tbl>
          <w:p w:rsidR="00B2388C" w:rsidRDefault="00B2388C">
            <w:pPr>
              <w:spacing w:after="0" w:line="240" w:lineRule="auto"/>
            </w:pPr>
          </w:p>
        </w:tc>
      </w:tr>
    </w:tbl>
    <w:p w:rsidR="00B2388C" w:rsidRDefault="00B2388C">
      <w:pPr>
        <w:spacing w:after="0" w:line="240" w:lineRule="auto"/>
      </w:pPr>
    </w:p>
    <w:sectPr w:rsidR="00B2388C">
      <w:footerReference w:type="default" r:id="rId7"/>
      <w:pgSz w:w="16837" w:h="11905"/>
      <w:pgMar w:top="566" w:right="566" w:bottom="566" w:left="56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A31" w:rsidRDefault="004E5A31">
      <w:pPr>
        <w:spacing w:after="0" w:line="240" w:lineRule="auto"/>
      </w:pPr>
      <w:r>
        <w:separator/>
      </w:r>
    </w:p>
  </w:endnote>
  <w:endnote w:type="continuationSeparator" w:id="0">
    <w:p w:rsidR="004E5A31" w:rsidRDefault="004E5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000" w:firstRow="0" w:lastRow="0" w:firstColumn="0" w:lastColumn="0" w:noHBand="0" w:noVBand="0"/>
    </w:tblPr>
    <w:tblGrid>
      <w:gridCol w:w="6089"/>
      <w:gridCol w:w="6269"/>
      <w:gridCol w:w="3259"/>
    </w:tblGrid>
    <w:tr w:rsidR="00B2388C">
      <w:tc>
        <w:tcPr>
          <w:tcW w:w="6089" w:type="dxa"/>
        </w:tcPr>
        <w:p w:rsidR="00B2388C" w:rsidRDefault="00B2388C">
          <w:pPr>
            <w:pStyle w:val="EmptyCellLayoutStyle"/>
            <w:spacing w:after="0" w:line="240" w:lineRule="auto"/>
          </w:pPr>
        </w:p>
      </w:tc>
      <w:tc>
        <w:tcPr>
          <w:tcW w:w="6269" w:type="dxa"/>
        </w:tcPr>
        <w:p w:rsidR="00B2388C" w:rsidRDefault="00B2388C">
          <w:pPr>
            <w:pStyle w:val="EmptyCellLayoutStyle"/>
            <w:spacing w:after="0" w:line="240" w:lineRule="auto"/>
          </w:pPr>
        </w:p>
      </w:tc>
      <w:tc>
        <w:tcPr>
          <w:tcW w:w="3259" w:type="dxa"/>
        </w:tcPr>
        <w:p w:rsidR="00B2388C" w:rsidRDefault="00B2388C">
          <w:pPr>
            <w:pStyle w:val="EmptyCellLayoutStyle"/>
            <w:spacing w:after="0" w:line="240" w:lineRule="auto"/>
          </w:pPr>
        </w:p>
      </w:tc>
    </w:tr>
    <w:tr w:rsidR="00B2388C">
      <w:tc>
        <w:tcPr>
          <w:tcW w:w="6089" w:type="dxa"/>
        </w:tcPr>
        <w:p w:rsidR="00B2388C" w:rsidRDefault="00B2388C">
          <w:pPr>
            <w:pStyle w:val="EmptyCellLayoutStyle"/>
            <w:spacing w:after="0" w:line="240" w:lineRule="auto"/>
          </w:pPr>
        </w:p>
      </w:tc>
      <w:tc>
        <w:tcPr>
          <w:tcW w:w="6269" w:type="dxa"/>
        </w:tcPr>
        <w:p w:rsidR="00B2388C" w:rsidRDefault="00B2388C">
          <w:pPr>
            <w:pStyle w:val="EmptyCellLayoutStyle"/>
            <w:spacing w:after="0" w:line="240" w:lineRule="auto"/>
          </w:pPr>
        </w:p>
      </w:tc>
      <w:tc>
        <w:tcPr>
          <w:tcW w:w="3259" w:type="dxa"/>
          <w:vMerge w:val="restart"/>
        </w:tcPr>
        <w:tbl>
          <w:tblPr>
            <w:tblW w:w="0" w:type="auto"/>
            <w:tblCellMar>
              <w:left w:w="0" w:type="dxa"/>
              <w:right w:w="0" w:type="dxa"/>
            </w:tblCellMar>
            <w:tblLook w:val="0000" w:firstRow="0" w:lastRow="0" w:firstColumn="0" w:lastColumn="0" w:noHBand="0" w:noVBand="0"/>
          </w:tblPr>
          <w:tblGrid>
            <w:gridCol w:w="3259"/>
          </w:tblGrid>
          <w:tr w:rsidR="00B2388C">
            <w:trPr>
              <w:trHeight w:val="206"/>
            </w:trPr>
            <w:tc>
              <w:tcPr>
                <w:tcW w:w="3259" w:type="dxa"/>
                <w:tcBorders>
                  <w:top w:val="nil"/>
                  <w:left w:val="nil"/>
                  <w:bottom w:val="nil"/>
                  <w:right w:val="nil"/>
                </w:tcBorders>
                <w:tcMar>
                  <w:top w:w="39" w:type="dxa"/>
                  <w:left w:w="39" w:type="dxa"/>
                  <w:bottom w:w="39" w:type="dxa"/>
                  <w:right w:w="39" w:type="dxa"/>
                </w:tcMar>
              </w:tcPr>
              <w:p w:rsidR="00B2388C" w:rsidRDefault="0080023E">
                <w:pPr>
                  <w:spacing w:after="0" w:line="240" w:lineRule="auto"/>
                  <w:jc w:val="right"/>
                </w:pPr>
                <w:r>
                  <w:rPr>
                    <w:rFonts w:ascii="Tahoma" w:eastAsia="Tahoma" w:hAnsi="Tahoma"/>
                    <w:color w:val="000000"/>
                    <w:sz w:val="14"/>
                  </w:rPr>
                  <w:t>Stranica 1 od 1</w:t>
                </w:r>
              </w:p>
            </w:tc>
          </w:tr>
        </w:tbl>
        <w:p w:rsidR="00B2388C" w:rsidRDefault="00B2388C">
          <w:pPr>
            <w:spacing w:after="0" w:line="240" w:lineRule="auto"/>
          </w:pPr>
        </w:p>
      </w:tc>
    </w:tr>
    <w:tr w:rsidR="00B2388C">
      <w:tc>
        <w:tcPr>
          <w:tcW w:w="6089" w:type="dxa"/>
          <w:vMerge w:val="restart"/>
        </w:tcPr>
        <w:tbl>
          <w:tblPr>
            <w:tblW w:w="0" w:type="auto"/>
            <w:tblCellMar>
              <w:left w:w="0" w:type="dxa"/>
              <w:right w:w="0" w:type="dxa"/>
            </w:tblCellMar>
            <w:tblLook w:val="0000" w:firstRow="0" w:lastRow="0" w:firstColumn="0" w:lastColumn="0" w:noHBand="0" w:noVBand="0"/>
          </w:tblPr>
          <w:tblGrid>
            <w:gridCol w:w="6089"/>
          </w:tblGrid>
          <w:tr w:rsidR="00B2388C">
            <w:trPr>
              <w:trHeight w:val="206"/>
            </w:trPr>
            <w:tc>
              <w:tcPr>
                <w:tcW w:w="6089" w:type="dxa"/>
                <w:tcBorders>
                  <w:top w:val="nil"/>
                  <w:left w:val="nil"/>
                  <w:bottom w:val="nil"/>
                  <w:right w:val="nil"/>
                </w:tcBorders>
                <w:tcMar>
                  <w:top w:w="39" w:type="dxa"/>
                  <w:left w:w="39" w:type="dxa"/>
                  <w:bottom w:w="39" w:type="dxa"/>
                  <w:right w:w="39" w:type="dxa"/>
                </w:tcMar>
              </w:tcPr>
              <w:p w:rsidR="00B2388C" w:rsidRDefault="0080023E">
                <w:pPr>
                  <w:spacing w:after="0" w:line="240" w:lineRule="auto"/>
                </w:pPr>
                <w:r>
                  <w:rPr>
                    <w:rFonts w:ascii="Tahoma" w:eastAsia="Tahoma" w:hAnsi="Tahoma"/>
                    <w:color w:val="000000"/>
                    <w:sz w:val="14"/>
                  </w:rPr>
                  <w:t>Izrađeno: 08.06.2020. 11:56</w:t>
                </w:r>
              </w:p>
            </w:tc>
          </w:tr>
        </w:tbl>
        <w:p w:rsidR="00B2388C" w:rsidRDefault="00B2388C">
          <w:pPr>
            <w:spacing w:after="0" w:line="240" w:lineRule="auto"/>
          </w:pPr>
        </w:p>
      </w:tc>
      <w:tc>
        <w:tcPr>
          <w:tcW w:w="6269" w:type="dxa"/>
        </w:tcPr>
        <w:p w:rsidR="00B2388C" w:rsidRDefault="00B2388C">
          <w:pPr>
            <w:pStyle w:val="EmptyCellLayoutStyle"/>
            <w:spacing w:after="0" w:line="240" w:lineRule="auto"/>
          </w:pPr>
        </w:p>
      </w:tc>
      <w:tc>
        <w:tcPr>
          <w:tcW w:w="3259" w:type="dxa"/>
          <w:vMerge/>
        </w:tcPr>
        <w:p w:rsidR="00B2388C" w:rsidRDefault="00B2388C">
          <w:pPr>
            <w:pStyle w:val="EmptyCellLayoutStyle"/>
            <w:spacing w:after="0" w:line="240" w:lineRule="auto"/>
          </w:pPr>
        </w:p>
      </w:tc>
    </w:tr>
    <w:tr w:rsidR="00B2388C">
      <w:tc>
        <w:tcPr>
          <w:tcW w:w="6089" w:type="dxa"/>
          <w:vMerge/>
        </w:tcPr>
        <w:p w:rsidR="00B2388C" w:rsidRDefault="00B2388C">
          <w:pPr>
            <w:pStyle w:val="EmptyCellLayoutStyle"/>
            <w:spacing w:after="0" w:line="240" w:lineRule="auto"/>
          </w:pPr>
        </w:p>
      </w:tc>
      <w:tc>
        <w:tcPr>
          <w:tcW w:w="6269" w:type="dxa"/>
        </w:tcPr>
        <w:p w:rsidR="00B2388C" w:rsidRDefault="00B2388C">
          <w:pPr>
            <w:pStyle w:val="EmptyCellLayoutStyle"/>
            <w:spacing w:after="0" w:line="240" w:lineRule="auto"/>
          </w:pPr>
        </w:p>
      </w:tc>
      <w:tc>
        <w:tcPr>
          <w:tcW w:w="3259" w:type="dxa"/>
        </w:tcPr>
        <w:p w:rsidR="00B2388C" w:rsidRDefault="00B2388C">
          <w:pPr>
            <w:pStyle w:val="EmptyCellLayoutStyle"/>
            <w:spacing w:after="0" w:line="240" w:lineRule="auto"/>
          </w:pPr>
        </w:p>
      </w:tc>
    </w:tr>
    <w:tr w:rsidR="00B2388C">
      <w:tc>
        <w:tcPr>
          <w:tcW w:w="6089" w:type="dxa"/>
        </w:tcPr>
        <w:p w:rsidR="00B2388C" w:rsidRDefault="00B2388C">
          <w:pPr>
            <w:pStyle w:val="EmptyCellLayoutStyle"/>
            <w:spacing w:after="0" w:line="240" w:lineRule="auto"/>
          </w:pPr>
        </w:p>
      </w:tc>
      <w:tc>
        <w:tcPr>
          <w:tcW w:w="6269" w:type="dxa"/>
        </w:tcPr>
        <w:p w:rsidR="00B2388C" w:rsidRDefault="00B2388C">
          <w:pPr>
            <w:pStyle w:val="EmptyCellLayoutStyle"/>
            <w:spacing w:after="0" w:line="240" w:lineRule="auto"/>
          </w:pPr>
        </w:p>
      </w:tc>
      <w:tc>
        <w:tcPr>
          <w:tcW w:w="3259" w:type="dxa"/>
        </w:tcPr>
        <w:p w:rsidR="00B2388C" w:rsidRDefault="00B2388C">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A31" w:rsidRDefault="004E5A31">
      <w:pPr>
        <w:spacing w:after="0" w:line="240" w:lineRule="auto"/>
      </w:pPr>
      <w:r>
        <w:separator/>
      </w:r>
    </w:p>
  </w:footnote>
  <w:footnote w:type="continuationSeparator" w:id="0">
    <w:p w:rsidR="004E5A31" w:rsidRDefault="004E5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8C"/>
    <w:rsid w:val="00073E99"/>
    <w:rsid w:val="003E5139"/>
    <w:rsid w:val="003F0DCC"/>
    <w:rsid w:val="00491E28"/>
    <w:rsid w:val="004E3989"/>
    <w:rsid w:val="004E5A31"/>
    <w:rsid w:val="0080023E"/>
    <w:rsid w:val="00871114"/>
    <w:rsid w:val="009D1005"/>
    <w:rsid w:val="00A8653F"/>
    <w:rsid w:val="00AB1CE6"/>
    <w:rsid w:val="00B2388C"/>
    <w:rsid w:val="00DF1A25"/>
    <w:rsid w:val="00E41363"/>
    <w:rsid w:val="00ED36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99936-62FA-4AA0-87B2-E8AEAA43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897</Words>
  <Characters>5115</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RS_02_ListOfAssociationsForWhichFundsAreDeniedForYear</vt:lpstr>
    </vt:vector>
  </TitlesOfParts>
  <Company>Grad Zagreb</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RS_02_ListOfAssociationsForWhichFundsAreDeniedForYear</dc:title>
  <dc:creator>Mario Jurić</dc:creator>
  <dc:description/>
  <cp:lastModifiedBy>Mario Jurić</cp:lastModifiedBy>
  <cp:revision>11</cp:revision>
  <dcterms:created xsi:type="dcterms:W3CDTF">2020-06-08T09:57:00Z</dcterms:created>
  <dcterms:modified xsi:type="dcterms:W3CDTF">2020-06-08T11:25:00Z</dcterms:modified>
</cp:coreProperties>
</file>